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wordWrap w:val="0"/>
        <w:jc w:val="center"/>
        <w:rPr>
          <w:rFonts w:ascii="黑体" w:hAnsi="宋体" w:eastAsia="黑体" w:cs="宋体"/>
          <w:b/>
          <w:color w:val="000000" w:themeColor="text1"/>
          <w:kern w:val="0"/>
          <w:sz w:val="32"/>
          <w:highlight w:val="none"/>
          <w:lang w:bidi="ar"/>
          <w14:textFill>
            <w14:solidFill>
              <w14:schemeClr w14:val="tx1"/>
            </w14:solidFill>
          </w14:textFill>
        </w:rPr>
      </w:pPr>
      <w:r>
        <w:rPr>
          <w:rFonts w:ascii="黑体" w:hAnsi="宋体" w:eastAsia="黑体" w:cs="宋体"/>
          <w:b/>
          <w:color w:val="000000" w:themeColor="text1"/>
          <w:kern w:val="0"/>
          <w:sz w:val="32"/>
          <w:highlight w:val="none"/>
          <w:lang w:bidi="ar"/>
          <w14:textFill>
            <w14:solidFill>
              <w14:schemeClr w14:val="tx1"/>
            </w14:solidFill>
          </w14:textFill>
        </w:rPr>
        <w:t>关于</w:t>
      </w:r>
      <w:r>
        <w:rPr>
          <w:rFonts w:hint="eastAsia" w:ascii="黑体" w:hAnsi="宋体" w:eastAsia="黑体" w:cs="宋体"/>
          <w:b/>
          <w:color w:val="000000" w:themeColor="text1"/>
          <w:kern w:val="0"/>
          <w:sz w:val="32"/>
          <w:highlight w:val="none"/>
          <w:lang w:bidi="ar"/>
          <w14:textFill>
            <w14:solidFill>
              <w14:schemeClr w14:val="tx1"/>
            </w14:solidFill>
          </w14:textFill>
        </w:rPr>
        <w:t>2020年下半年高等学历继续教育</w:t>
      </w:r>
    </w:p>
    <w:p>
      <w:pPr>
        <w:widowControl/>
        <w:wordWrap w:val="0"/>
        <w:jc w:val="center"/>
        <w:rPr>
          <w:rFonts w:ascii="黑体" w:hAnsi="宋体" w:eastAsia="黑体" w:cs="宋体"/>
          <w:b/>
          <w:color w:val="000000" w:themeColor="text1"/>
          <w:kern w:val="0"/>
          <w:sz w:val="32"/>
          <w:highlight w:val="none"/>
          <w14:textFill>
            <w14:solidFill>
              <w14:schemeClr w14:val="tx1"/>
            </w14:solidFill>
          </w14:textFill>
        </w:rPr>
      </w:pPr>
      <w:r>
        <w:rPr>
          <w:rFonts w:hint="eastAsia" w:ascii="黑体" w:hAnsi="宋体" w:eastAsia="黑体" w:cs="宋体"/>
          <w:b/>
          <w:color w:val="000000" w:themeColor="text1"/>
          <w:kern w:val="0"/>
          <w:sz w:val="32"/>
          <w:highlight w:val="none"/>
          <w:lang w:bidi="ar"/>
          <w14:textFill>
            <w14:solidFill>
              <w14:schemeClr w14:val="tx1"/>
            </w14:solidFill>
          </w14:textFill>
        </w:rPr>
        <w:t>本科毕业生申请学士学位的通知</w:t>
      </w:r>
    </w:p>
    <w:p>
      <w:pPr>
        <w:widowControl/>
        <w:wordWrap w:val="0"/>
        <w:jc w:val="center"/>
        <w:rPr>
          <w:rFonts w:ascii="黑体" w:hAnsi="宋体" w:eastAsia="黑体" w:cs="宋体"/>
          <w:b/>
          <w:color w:val="000000" w:themeColor="text1"/>
          <w:kern w:val="0"/>
          <w:sz w:val="32"/>
          <w:highlight w:val="none"/>
          <w14:textFill>
            <w14:solidFill>
              <w14:schemeClr w14:val="tx1"/>
            </w14:solidFill>
          </w14:textFill>
        </w:rPr>
      </w:pP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2020年下半年高等学历继续教育本科毕业生学士学位申请</w:t>
      </w:r>
      <w:r>
        <w:rPr>
          <w:rFonts w:hint="eastAsia" w:ascii="仿宋" w:hAnsi="仿宋" w:eastAsia="仿宋" w:cs="仿宋"/>
          <w:bCs/>
          <w:color w:val="000000" w:themeColor="text1"/>
          <w:kern w:val="0"/>
          <w:sz w:val="28"/>
          <w:szCs w:val="28"/>
          <w:highlight w:val="none"/>
          <w:lang w:bidi="ar"/>
          <w14:textFill>
            <w14:solidFill>
              <w14:schemeClr w14:val="tx1"/>
            </w14:solidFill>
          </w14:textFill>
        </w:rPr>
        <w:t>工作将</w:t>
      </w:r>
      <w:r>
        <w:rPr>
          <w:rFonts w:hint="eastAsia" w:ascii="仿宋" w:hAnsi="仿宋" w:eastAsia="仿宋" w:cs="仿宋"/>
          <w:bCs/>
          <w:color w:val="000000" w:themeColor="text1"/>
          <w:kern w:val="0"/>
          <w:sz w:val="28"/>
          <w:szCs w:val="28"/>
          <w:highlight w:val="none"/>
          <w:lang w:bidi="ar"/>
          <w14:textFill>
            <w14:solidFill>
              <w14:schemeClr w14:val="tx1"/>
            </w14:solidFill>
          </w14:textFill>
        </w:rPr>
        <w:t>于10月12日至11月13日</w:t>
      </w:r>
      <w:r>
        <w:rPr>
          <w:rFonts w:hint="eastAsia" w:ascii="仿宋" w:hAnsi="仿宋" w:eastAsia="仿宋" w:cs="仿宋"/>
          <w:bCs/>
          <w:color w:val="000000" w:themeColor="text1"/>
          <w:kern w:val="0"/>
          <w:sz w:val="28"/>
          <w:szCs w:val="28"/>
          <w:highlight w:val="none"/>
          <w:lang w:bidi="ar"/>
          <w14:textFill>
            <w14:solidFill>
              <w14:schemeClr w14:val="tx1"/>
            </w14:solidFill>
          </w14:textFill>
        </w:rPr>
        <w:t>进行</w:t>
      </w:r>
      <w:r>
        <w:rPr>
          <w:rFonts w:hint="eastAsia" w:ascii="仿宋" w:hAnsi="仿宋" w:eastAsia="仿宋" w:cs="仿宋"/>
          <w:bCs/>
          <w:color w:val="000000" w:themeColor="text1"/>
          <w:kern w:val="0"/>
          <w:sz w:val="28"/>
          <w:szCs w:val="28"/>
          <w:highlight w:val="none"/>
          <w:lang w:bidi="ar"/>
          <w14:textFill>
            <w14:solidFill>
              <w14:schemeClr w14:val="tx1"/>
            </w14:solidFill>
          </w14:textFill>
        </w:rPr>
        <w:t>，凡符合申请学士学位条件的我校高等学历继续教育（成人/自考）本科毕业生，须在规定时间内向学院提出申请，经学院审核和学校学位评定委员会审定后，授予</w:t>
      </w:r>
      <w:r>
        <w:rPr>
          <w:rFonts w:hint="eastAsia" w:ascii="仿宋" w:hAnsi="仿宋" w:eastAsia="仿宋" w:cs="仿宋"/>
          <w:bCs/>
          <w:color w:val="000000" w:themeColor="text1"/>
          <w:kern w:val="0"/>
          <w:sz w:val="28"/>
          <w:szCs w:val="28"/>
          <w:highlight w:val="none"/>
          <w:lang w:bidi="ar"/>
          <w14:textFill>
            <w14:solidFill>
              <w14:schemeClr w14:val="tx1"/>
            </w14:solidFill>
          </w14:textFill>
        </w:rPr>
        <w:t>成人高等教育本科毕业生</w:t>
      </w: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学士学位。 </w:t>
      </w:r>
    </w:p>
    <w:p>
      <w:pPr>
        <w:ind w:firstLine="560" w:firstLineChars="200"/>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一、申请学士学位的条件</w:t>
      </w:r>
      <w:r>
        <w:rPr>
          <w:rFonts w:hint="eastAsia" w:ascii="仿宋" w:hAnsi="仿宋" w:eastAsia="仿宋" w:cs="仿宋"/>
          <w:bCs/>
          <w:color w:val="000000" w:themeColor="text1"/>
          <w:kern w:val="0"/>
          <w:sz w:val="28"/>
          <w:szCs w:val="28"/>
          <w:highlight w:val="none"/>
          <w:lang w:bidi="ar"/>
          <w14:textFill>
            <w14:solidFill>
              <w14:schemeClr w14:val="tx1"/>
            </w14:solidFill>
          </w14:textFill>
        </w:rPr>
        <w:br w:type="textWrapping"/>
      </w:r>
      <w:r>
        <w:rPr>
          <w:rFonts w:hint="eastAsia" w:ascii="仿宋" w:hAnsi="仿宋" w:eastAsia="仿宋" w:cs="仿宋"/>
          <w:bCs/>
          <w:color w:val="000000" w:themeColor="text1"/>
          <w:kern w:val="0"/>
          <w:sz w:val="28"/>
          <w:szCs w:val="28"/>
          <w:highlight w:val="none"/>
          <w:lang w:bidi="ar"/>
          <w14:textFill>
            <w14:solidFill>
              <w14:schemeClr w14:val="tx1"/>
            </w14:solidFill>
          </w14:textFill>
        </w:rPr>
        <w:t>　　按照《成都理工大学授予高等学历继续教育本科毕业生学士学位实施细则》(成理校发〔2020〕17号）文件规定，本次申请授予学士学位的条件如下：</w:t>
      </w:r>
      <w:r>
        <w:rPr>
          <w:rFonts w:hint="eastAsia" w:ascii="仿宋" w:hAnsi="仿宋" w:eastAsia="仿宋" w:cs="仿宋"/>
          <w:bCs/>
          <w:color w:val="000000" w:themeColor="text1"/>
          <w:kern w:val="0"/>
          <w:sz w:val="28"/>
          <w:szCs w:val="28"/>
          <w:highlight w:val="none"/>
          <w:lang w:bidi="ar"/>
          <w14:textFill>
            <w14:solidFill>
              <w14:schemeClr w14:val="tx1"/>
            </w14:solidFill>
          </w14:textFill>
        </w:rPr>
        <w:br w:type="textWrapping"/>
      </w:r>
      <w:r>
        <w:rPr>
          <w:rFonts w:hint="eastAsia" w:ascii="仿宋" w:hAnsi="仿宋" w:eastAsia="仿宋" w:cs="仿宋"/>
          <w:bCs/>
          <w:color w:val="000000" w:themeColor="text1"/>
          <w:kern w:val="0"/>
          <w:sz w:val="28"/>
          <w:szCs w:val="28"/>
          <w:highlight w:val="none"/>
          <w:lang w:bidi="ar"/>
          <w14:textFill>
            <w14:solidFill>
              <w14:schemeClr w14:val="tx1"/>
            </w14:solidFill>
          </w14:textFill>
        </w:rPr>
        <w:t>　　（一）受理范围：2018年10月以后毕业的我校成人高等教育/高等教育自学考试本科毕业生。</w:t>
      </w:r>
      <w:r>
        <w:rPr>
          <w:rFonts w:hint="eastAsia" w:ascii="仿宋" w:hAnsi="仿宋" w:eastAsia="仿宋" w:cs="仿宋"/>
          <w:bCs/>
          <w:color w:val="000000" w:themeColor="text1"/>
          <w:kern w:val="0"/>
          <w:sz w:val="28"/>
          <w:szCs w:val="28"/>
          <w:highlight w:val="none"/>
          <w:lang w:bidi="ar"/>
          <w14:textFill>
            <w14:solidFill>
              <w14:schemeClr w14:val="tx1"/>
            </w14:solidFill>
          </w14:textFill>
        </w:rPr>
        <w:br w:type="textWrapping"/>
      </w:r>
      <w:r>
        <w:rPr>
          <w:rFonts w:hint="eastAsia" w:ascii="仿宋" w:hAnsi="仿宋" w:eastAsia="仿宋" w:cs="仿宋"/>
          <w:bCs/>
          <w:color w:val="000000" w:themeColor="text1"/>
          <w:kern w:val="0"/>
          <w:sz w:val="28"/>
          <w:szCs w:val="28"/>
          <w:highlight w:val="none"/>
          <w:lang w:bidi="ar"/>
          <w14:textFill>
            <w14:solidFill>
              <w14:schemeClr w14:val="tx1"/>
            </w14:solidFill>
          </w14:textFill>
        </w:rPr>
        <w:t>　　（二）成人高等教育本科毕业生，人才培养方案规定的考试课程总平均成绩不低于75分。高等教育自学考试本科毕业生，</w:t>
      </w:r>
      <w:r>
        <w:rPr>
          <w:rFonts w:hint="eastAsia" w:ascii="仿宋" w:hAnsi="仿宋" w:eastAsia="仿宋" w:cs="仿宋"/>
          <w:bCs/>
          <w:color w:val="000000" w:themeColor="text1"/>
          <w:kern w:val="0"/>
          <w:sz w:val="28"/>
          <w:szCs w:val="28"/>
          <w:highlight w:val="none"/>
          <w:lang w:bidi="ar"/>
          <w14:textFill>
            <w14:solidFill>
              <w14:schemeClr w14:val="tx1"/>
            </w14:solidFill>
          </w14:textFill>
        </w:rPr>
        <w:t>四川省高等教育自学考试应用型专业考试计划</w:t>
      </w:r>
      <w:r>
        <w:rPr>
          <w:rFonts w:hint="eastAsia" w:ascii="仿宋" w:hAnsi="仿宋" w:eastAsia="仿宋" w:cs="仿宋"/>
          <w:bCs/>
          <w:color w:val="000000" w:themeColor="text1"/>
          <w:kern w:val="0"/>
          <w:sz w:val="28"/>
          <w:szCs w:val="28"/>
          <w:highlight w:val="none"/>
          <w:lang w:bidi="ar"/>
          <w14:textFill>
            <w14:solidFill>
              <w14:schemeClr w14:val="tx1"/>
            </w14:solidFill>
          </w14:textFill>
        </w:rPr>
        <w:t>规定的考试课程总平均成绩不得低于65分。（计算总平均成绩的课程不含毕业论文或毕业设计以及其他毕业实践环节）。</w:t>
      </w: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（三）成人高等教育本科毕业生，人才培养方案中三门专业“</w:t>
      </w:r>
      <w:r>
        <w:rPr>
          <w:rFonts w:ascii="仿宋" w:hAnsi="仿宋" w:eastAsia="仿宋" w:cs="仿宋"/>
          <w:bCs/>
          <w:color w:val="000000" w:themeColor="text1"/>
          <w:kern w:val="0"/>
          <w:sz w:val="28"/>
          <w:szCs w:val="28"/>
          <w:highlight w:val="none"/>
          <w:lang w:bidi="ar"/>
          <w14:textFill>
            <w14:solidFill>
              <w14:schemeClr w14:val="tx1"/>
            </w14:solidFill>
          </w14:textFill>
        </w:rPr>
        <w:t>主干课程</w:t>
      </w:r>
      <w:r>
        <w:rPr>
          <w:rFonts w:hint="eastAsia" w:ascii="仿宋" w:hAnsi="仿宋" w:eastAsia="仿宋" w:cs="仿宋"/>
          <w:bCs/>
          <w:color w:val="000000" w:themeColor="text1"/>
          <w:kern w:val="0"/>
          <w:sz w:val="28"/>
          <w:szCs w:val="28"/>
          <w:highlight w:val="none"/>
          <w:lang w:bidi="ar"/>
          <w14:textFill>
            <w14:solidFill>
              <w14:schemeClr w14:val="tx1"/>
            </w14:solidFill>
          </w14:textFill>
        </w:rPr>
        <w:t>”</w:t>
      </w:r>
      <w:r>
        <w:rPr>
          <w:rFonts w:ascii="仿宋" w:hAnsi="仿宋" w:eastAsia="仿宋" w:cs="仿宋"/>
          <w:bCs/>
          <w:color w:val="000000" w:themeColor="text1"/>
          <w:kern w:val="0"/>
          <w:sz w:val="28"/>
          <w:szCs w:val="28"/>
          <w:highlight w:val="none"/>
          <w:lang w:bidi="ar"/>
          <w14:textFill>
            <w14:solidFill>
              <w14:schemeClr w14:val="tx1"/>
            </w14:solidFill>
          </w14:textFill>
        </w:rPr>
        <w:t>考试成绩必须在 75 分</w:t>
      </w:r>
      <w:r>
        <w:rPr>
          <w:rFonts w:hint="eastAsia" w:ascii="仿宋" w:hAnsi="仿宋" w:eastAsia="仿宋" w:cs="仿宋"/>
          <w:bCs/>
          <w:color w:val="000000" w:themeColor="text1"/>
          <w:kern w:val="0"/>
          <w:sz w:val="28"/>
          <w:szCs w:val="28"/>
          <w:highlight w:val="none"/>
          <w:lang w:bidi="ar"/>
          <w14:textFill>
            <w14:solidFill>
              <w14:schemeClr w14:val="tx1"/>
            </w14:solidFill>
          </w14:textFill>
        </w:rPr>
        <w:t>（含）</w:t>
      </w:r>
      <w:r>
        <w:rPr>
          <w:rFonts w:ascii="仿宋" w:hAnsi="仿宋" w:eastAsia="仿宋" w:cs="仿宋"/>
          <w:bCs/>
          <w:color w:val="000000" w:themeColor="text1"/>
          <w:kern w:val="0"/>
          <w:sz w:val="28"/>
          <w:szCs w:val="28"/>
          <w:highlight w:val="none"/>
          <w:lang w:bidi="ar"/>
          <w14:textFill>
            <w14:solidFill>
              <w14:schemeClr w14:val="tx1"/>
            </w14:solidFill>
          </w14:textFill>
        </w:rPr>
        <w:t>以上；高等教育自学考试本科毕业生，</w:t>
      </w:r>
      <w:r>
        <w:rPr>
          <w:rFonts w:hint="eastAsia" w:ascii="仿宋" w:hAnsi="仿宋" w:eastAsia="仿宋" w:cs="仿宋"/>
          <w:bCs/>
          <w:color w:val="000000" w:themeColor="text1"/>
          <w:kern w:val="0"/>
          <w:sz w:val="28"/>
          <w:szCs w:val="28"/>
          <w:highlight w:val="none"/>
          <w:lang w:bidi="ar"/>
          <w14:textFill>
            <w14:solidFill>
              <w14:schemeClr w14:val="tx1"/>
            </w14:solidFill>
          </w14:textFill>
        </w:rPr>
        <w:t>四川省高等教育自学考试应用型专业考试计划</w:t>
      </w:r>
      <w:r>
        <w:rPr>
          <w:rFonts w:ascii="仿宋" w:hAnsi="仿宋" w:eastAsia="仿宋" w:cs="仿宋"/>
          <w:bCs/>
          <w:color w:val="000000" w:themeColor="text1"/>
          <w:kern w:val="0"/>
          <w:sz w:val="28"/>
          <w:szCs w:val="28"/>
          <w:highlight w:val="none"/>
          <w:lang w:bidi="ar"/>
          <w14:textFill>
            <w14:solidFill>
              <w14:schemeClr w14:val="tx1"/>
            </w14:solidFill>
          </w14:textFill>
        </w:rPr>
        <w:t>中三门专业</w:t>
      </w:r>
      <w:r>
        <w:rPr>
          <w:rFonts w:hint="eastAsia" w:ascii="仿宋" w:hAnsi="仿宋" w:eastAsia="仿宋" w:cs="仿宋"/>
          <w:bCs/>
          <w:color w:val="000000" w:themeColor="text1"/>
          <w:kern w:val="0"/>
          <w:sz w:val="28"/>
          <w:szCs w:val="28"/>
          <w:highlight w:val="none"/>
          <w:lang w:bidi="ar"/>
          <w14:textFill>
            <w14:solidFill>
              <w14:schemeClr w14:val="tx1"/>
            </w14:solidFill>
          </w14:textFill>
        </w:rPr>
        <w:t>“</w:t>
      </w:r>
      <w:r>
        <w:rPr>
          <w:rFonts w:ascii="仿宋" w:hAnsi="仿宋" w:eastAsia="仿宋" w:cs="仿宋"/>
          <w:bCs/>
          <w:color w:val="000000" w:themeColor="text1"/>
          <w:kern w:val="0"/>
          <w:sz w:val="28"/>
          <w:szCs w:val="28"/>
          <w:highlight w:val="none"/>
          <w:lang w:bidi="ar"/>
          <w14:textFill>
            <w14:solidFill>
              <w14:schemeClr w14:val="tx1"/>
            </w14:solidFill>
          </w14:textFill>
        </w:rPr>
        <w:t>主干课程</w:t>
      </w:r>
      <w:r>
        <w:rPr>
          <w:rFonts w:hint="eastAsia" w:ascii="仿宋" w:hAnsi="仿宋" w:eastAsia="仿宋" w:cs="仿宋"/>
          <w:bCs/>
          <w:color w:val="000000" w:themeColor="text1"/>
          <w:kern w:val="0"/>
          <w:sz w:val="28"/>
          <w:szCs w:val="28"/>
          <w:highlight w:val="none"/>
          <w:lang w:bidi="ar"/>
          <w14:textFill>
            <w14:solidFill>
              <w14:schemeClr w14:val="tx1"/>
            </w14:solidFill>
          </w14:textFill>
        </w:rPr>
        <w:t>”</w:t>
      </w:r>
      <w:r>
        <w:rPr>
          <w:rFonts w:ascii="仿宋" w:hAnsi="仿宋" w:eastAsia="仿宋" w:cs="仿宋"/>
          <w:bCs/>
          <w:color w:val="000000" w:themeColor="text1"/>
          <w:kern w:val="0"/>
          <w:sz w:val="28"/>
          <w:szCs w:val="28"/>
          <w:highlight w:val="none"/>
          <w:lang w:bidi="ar"/>
          <w14:textFill>
            <w14:solidFill>
              <w14:schemeClr w14:val="tx1"/>
            </w14:solidFill>
          </w14:textFill>
        </w:rPr>
        <w:t>考试成绩必须在 60 分</w:t>
      </w:r>
      <w:r>
        <w:rPr>
          <w:rFonts w:hint="eastAsia" w:ascii="仿宋" w:hAnsi="仿宋" w:eastAsia="仿宋" w:cs="仿宋"/>
          <w:bCs/>
          <w:color w:val="000000" w:themeColor="text1"/>
          <w:kern w:val="0"/>
          <w:sz w:val="28"/>
          <w:szCs w:val="28"/>
          <w:highlight w:val="none"/>
          <w:lang w:bidi="ar"/>
          <w14:textFill>
            <w14:solidFill>
              <w14:schemeClr w14:val="tx1"/>
            </w14:solidFill>
          </w14:textFill>
        </w:rPr>
        <w:t>（含）</w:t>
      </w:r>
      <w:r>
        <w:rPr>
          <w:rFonts w:ascii="仿宋" w:hAnsi="仿宋" w:eastAsia="仿宋" w:cs="仿宋"/>
          <w:bCs/>
          <w:color w:val="000000" w:themeColor="text1"/>
          <w:kern w:val="0"/>
          <w:sz w:val="28"/>
          <w:szCs w:val="28"/>
          <w:highlight w:val="none"/>
          <w:lang w:bidi="ar"/>
          <w14:textFill>
            <w14:solidFill>
              <w14:schemeClr w14:val="tx1"/>
            </w14:solidFill>
          </w14:textFill>
        </w:rPr>
        <w:t xml:space="preserve">以上。 </w:t>
      </w: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（四）已通过四川省学士学位外语水平考试。或参加以下外语水平考试并达到相应分数要求，认定学业水平测试合格：</w:t>
      </w: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非英语专业：</w:t>
      </w: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ascii="仿宋" w:hAnsi="仿宋" w:eastAsia="仿宋" w:cs="仿宋"/>
          <w:bCs/>
          <w:color w:val="000000" w:themeColor="text1"/>
          <w:kern w:val="0"/>
          <w:sz w:val="28"/>
          <w:szCs w:val="28"/>
          <w:highlight w:val="none"/>
          <w:lang w:bidi="ar"/>
          <w14:textFill>
            <w14:solidFill>
              <w14:schemeClr w14:val="tx1"/>
            </w14:solidFill>
          </w14:textFill>
        </w:rPr>
        <w:t>1.</w:t>
      </w:r>
      <w:r>
        <w:rPr>
          <w:rFonts w:hint="eastAsia" w:ascii="仿宋" w:hAnsi="仿宋" w:eastAsia="仿宋" w:cs="仿宋"/>
          <w:bCs/>
          <w:color w:val="000000" w:themeColor="text1"/>
          <w:kern w:val="0"/>
          <w:sz w:val="28"/>
          <w:szCs w:val="28"/>
          <w:highlight w:val="none"/>
          <w:lang w:bidi="ar"/>
          <w14:textFill>
            <w14:solidFill>
              <w14:schemeClr w14:val="tx1"/>
            </w14:solidFill>
          </w14:textFill>
        </w:rPr>
        <w:t>全国英语等级考试三级笔试成绩达到60分</w:t>
      </w:r>
      <w:r>
        <w:rPr>
          <w:rFonts w:ascii="仿宋" w:hAnsi="仿宋" w:eastAsia="仿宋" w:cs="仿宋"/>
          <w:bCs/>
          <w:color w:val="000000" w:themeColor="text1"/>
          <w:kern w:val="0"/>
          <w:sz w:val="28"/>
          <w:szCs w:val="28"/>
          <w:highlight w:val="none"/>
          <w:lang w:bidi="ar"/>
          <w14:textFill>
            <w14:solidFill>
              <w14:schemeClr w14:val="tx1"/>
            </w14:solidFill>
          </w14:textFill>
        </w:rPr>
        <w:t>；</w:t>
      </w: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ascii="仿宋" w:hAnsi="仿宋" w:eastAsia="仿宋" w:cs="仿宋"/>
          <w:bCs/>
          <w:color w:val="000000" w:themeColor="text1"/>
          <w:kern w:val="0"/>
          <w:sz w:val="28"/>
          <w:szCs w:val="28"/>
          <w:highlight w:val="none"/>
          <w:lang w:bidi="ar"/>
          <w14:textFill>
            <w14:solidFill>
              <w14:schemeClr w14:val="tx1"/>
            </w14:solidFill>
          </w14:textFill>
        </w:rPr>
        <w:t>2.</w:t>
      </w:r>
      <w:r>
        <w:rPr>
          <w:rFonts w:hint="eastAsia" w:ascii="仿宋" w:hAnsi="仿宋" w:eastAsia="仿宋" w:cs="仿宋"/>
          <w:bCs/>
          <w:color w:val="000000" w:themeColor="text1"/>
          <w:kern w:val="0"/>
          <w:sz w:val="28"/>
          <w:szCs w:val="28"/>
          <w:highlight w:val="none"/>
          <w:lang w:bidi="ar"/>
          <w14:textFill>
            <w14:solidFill>
              <w14:schemeClr w14:val="tx1"/>
            </w14:solidFill>
          </w14:textFill>
        </w:rPr>
        <w:t>全国大学英语四级（CET4）成绩达到380分；</w:t>
      </w: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3.高等教育自学考试“英语（二）”课程考试成绩达到60分。</w:t>
      </w:r>
      <w:r>
        <w:rPr>
          <w:rFonts w:hint="eastAsia" w:ascii="仿宋" w:hAnsi="仿宋" w:eastAsia="仿宋" w:cs="仿宋"/>
          <w:bCs/>
          <w:color w:val="000000" w:themeColor="text1"/>
          <w:kern w:val="0"/>
          <w:sz w:val="28"/>
          <w:szCs w:val="28"/>
          <w:highlight w:val="none"/>
          <w:lang w:bidi="ar"/>
          <w14:textFill>
            <w14:solidFill>
              <w14:schemeClr w14:val="tx1"/>
            </w14:solidFill>
          </w14:textFill>
        </w:rPr>
        <w:br w:type="textWrapping"/>
      </w: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    英语专业学士学位申请人须参加高等教育自学考试“日语”课程考试，成绩达到60分。</w:t>
      </w:r>
    </w:p>
    <w:p>
      <w:pPr>
        <w:ind w:firstLine="560" w:firstLineChars="200"/>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通过外语水平考试的时间范围为取得学籍或考籍起，至申请学位前。</w:t>
      </w:r>
    </w:p>
    <w:p>
      <w:pPr>
        <w:widowControl/>
        <w:wordWrap w:val="0"/>
        <w:spacing w:line="360" w:lineRule="auto"/>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（五）毕业论文(毕业设计或其他毕业实践环节)成绩合格。　　    （六）学生应在获得本科毕业证书后两年内提出申请，只能申请一次学士学位。</w:t>
      </w:r>
    </w:p>
    <w:p>
      <w:pPr>
        <w:widowControl/>
        <w:wordWrap w:val="0"/>
        <w:spacing w:line="360" w:lineRule="auto"/>
        <w:ind w:firstLine="560"/>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二、申请学士学位应提交的材料</w:t>
      </w:r>
      <w:r>
        <w:rPr>
          <w:rFonts w:hint="eastAsia" w:ascii="仿宋" w:hAnsi="仿宋" w:eastAsia="仿宋" w:cs="仿宋"/>
          <w:bCs/>
          <w:color w:val="000000" w:themeColor="text1"/>
          <w:kern w:val="0"/>
          <w:sz w:val="28"/>
          <w:szCs w:val="28"/>
          <w:highlight w:val="none"/>
          <w:lang w:bidi="ar"/>
          <w14:textFill>
            <w14:solidFill>
              <w14:schemeClr w14:val="tx1"/>
            </w14:solidFill>
          </w14:textFill>
        </w:rPr>
        <w:br w:type="textWrapping"/>
      </w:r>
      <w:r>
        <w:rPr>
          <w:rFonts w:hint="eastAsia" w:ascii="仿宋" w:hAnsi="仿宋" w:eastAsia="仿宋" w:cs="仿宋"/>
          <w:bCs/>
          <w:color w:val="000000" w:themeColor="text1"/>
          <w:kern w:val="0"/>
          <w:sz w:val="28"/>
          <w:szCs w:val="28"/>
          <w:highlight w:val="none"/>
          <w:lang w:bidi="ar"/>
          <w14:textFill>
            <w14:solidFill>
              <w14:schemeClr w14:val="tx1"/>
            </w14:solidFill>
          </w14:textFill>
        </w:rPr>
        <w:t>　　符合学士学位申请条件的毕业生，务必于2020年11月13日前，将以下材料的复印件报送至继续教育学院教务科（不接受扫描件或传真件），并提供相应原件供审核。</w:t>
      </w:r>
      <w:r>
        <w:rPr>
          <w:rFonts w:hint="eastAsia" w:ascii="仿宋" w:hAnsi="仿宋" w:eastAsia="仿宋" w:cs="仿宋"/>
          <w:bCs/>
          <w:color w:val="000000" w:themeColor="text1"/>
          <w:kern w:val="0"/>
          <w:sz w:val="28"/>
          <w:szCs w:val="28"/>
          <w:highlight w:val="none"/>
          <w:lang w:bidi="ar"/>
          <w14:textFill>
            <w14:solidFill>
              <w14:schemeClr w14:val="tx1"/>
            </w14:solidFill>
          </w14:textFill>
        </w:rPr>
        <w:br w:type="textWrapping"/>
      </w: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 　 （一） 成都理工大学高等学历教育本科毕业生学士学位申请表（电子文档）；</w:t>
      </w:r>
    </w:p>
    <w:p>
      <w:pPr>
        <w:widowControl/>
        <w:wordWrap w:val="0"/>
        <w:spacing w:line="360" w:lineRule="auto"/>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    （二）成都理工大学成教（自考）本科毕业证书，专升本学生需同时提交专科毕业证书；</w:t>
      </w:r>
    </w:p>
    <w:p>
      <w:pPr>
        <w:widowControl/>
        <w:wordWrap w:val="0"/>
        <w:spacing w:line="360" w:lineRule="auto"/>
        <w:ind w:firstLine="560" w:firstLineChars="200"/>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（三）四川省学士学位外语水平统一考试合格证或符合上述学业水平测试认定条件之一的外语水平考试成绩证明；</w:t>
      </w:r>
    </w:p>
    <w:p>
      <w:pPr>
        <w:widowControl/>
        <w:wordWrap w:val="0"/>
        <w:spacing w:line="360" w:lineRule="auto"/>
        <w:ind w:firstLine="560"/>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（四）身份证；</w:t>
      </w:r>
    </w:p>
    <w:p>
      <w:pPr>
        <w:widowControl/>
        <w:wordWrap w:val="0"/>
        <w:spacing w:line="360" w:lineRule="auto"/>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（五）教学点学生需提供</w:t>
      </w:r>
      <w:r>
        <w:rPr>
          <w:rFonts w:hint="eastAsia" w:ascii="仿宋" w:hAnsi="仿宋" w:eastAsia="仿宋" w:cs="仿宋"/>
          <w:bCs/>
          <w:color w:val="000000" w:themeColor="text1"/>
          <w:kern w:val="0"/>
          <w:sz w:val="28"/>
          <w:szCs w:val="28"/>
          <w:highlight w:val="none"/>
          <w:lang w:bidi="ar"/>
          <w14:textFill>
            <w14:solidFill>
              <w14:schemeClr w14:val="tx1"/>
            </w14:solidFill>
          </w14:textFill>
        </w:rPr>
        <w:t>《学籍成绩记载表》</w:t>
      </w:r>
      <w:r>
        <w:rPr>
          <w:rFonts w:hint="eastAsia" w:ascii="仿宋" w:hAnsi="仿宋" w:eastAsia="仿宋" w:cs="仿宋"/>
          <w:bCs/>
          <w:color w:val="000000" w:themeColor="text1"/>
          <w:kern w:val="0"/>
          <w:sz w:val="28"/>
          <w:szCs w:val="28"/>
          <w:highlight w:val="none"/>
          <w:lang w:bidi="ar"/>
          <w14:textFill>
            <w14:solidFill>
              <w14:schemeClr w14:val="tx1"/>
            </w14:solidFill>
          </w14:textFill>
        </w:rPr>
        <w:t>（教学点盖章），自考学生需提供</w:t>
      </w:r>
      <w:r>
        <w:rPr>
          <w:rFonts w:hint="eastAsia" w:ascii="仿宋" w:hAnsi="仿宋" w:eastAsia="仿宋" w:cs="仿宋"/>
          <w:bCs/>
          <w:color w:val="000000" w:themeColor="text1"/>
          <w:kern w:val="0"/>
          <w:sz w:val="28"/>
          <w:szCs w:val="28"/>
          <w:highlight w:val="none"/>
          <w:lang w:bidi="ar"/>
          <w14:textFill>
            <w14:solidFill>
              <w14:schemeClr w14:val="tx1"/>
            </w14:solidFill>
          </w14:textFill>
        </w:rPr>
        <w:t>《四川省高等教育自学考试毕业生学籍表》</w:t>
      </w:r>
      <w:r>
        <w:rPr>
          <w:rFonts w:hint="eastAsia" w:ascii="仿宋" w:hAnsi="仿宋" w:eastAsia="仿宋" w:cs="仿宋"/>
          <w:bCs/>
          <w:color w:val="000000" w:themeColor="text1"/>
          <w:kern w:val="0"/>
          <w:sz w:val="28"/>
          <w:szCs w:val="28"/>
          <w:highlight w:val="none"/>
          <w:lang w:bidi="ar"/>
          <w14:textFill>
            <w14:solidFill>
              <w14:schemeClr w14:val="tx1"/>
            </w14:solidFill>
          </w14:textFill>
        </w:rPr>
        <w:t>（学校自考办盖章）；</w:t>
      </w:r>
    </w:p>
    <w:p>
      <w:pPr>
        <w:widowControl/>
        <w:wordWrap w:val="0"/>
        <w:spacing w:line="360" w:lineRule="auto"/>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（六）2寸彩色标准照（蓝色背景）2张及同版照片电子文档（JPG格式）。</w:t>
      </w:r>
    </w:p>
    <w:p>
      <w:pPr>
        <w:widowControl/>
        <w:wordWrap w:val="0"/>
        <w:spacing w:line="360" w:lineRule="auto"/>
        <w:ind w:firstLine="560" w:firstLineChars="200"/>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三、联系方式</w:t>
      </w:r>
    </w:p>
    <w:p>
      <w:pPr>
        <w:widowControl/>
        <w:wordWrap w:val="0"/>
        <w:spacing w:line="360" w:lineRule="auto"/>
        <w:ind w:firstLine="560" w:firstLineChars="200"/>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报送地点：成都市成华区崔家店路502号  </w:t>
      </w:r>
    </w:p>
    <w:p>
      <w:pPr>
        <w:widowControl/>
        <w:wordWrap w:val="0"/>
        <w:spacing w:line="360" w:lineRule="auto"/>
        <w:ind w:firstLine="560" w:firstLineChars="200"/>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成都理工大学继续教育学院教务科（南校区2教1-</w:t>
      </w:r>
      <w:r>
        <w:rPr>
          <w:rFonts w:hint="eastAsia" w:ascii="仿宋" w:hAnsi="仿宋" w:eastAsia="仿宋" w:cs="仿宋"/>
          <w:bCs/>
          <w:color w:val="000000" w:themeColor="text1"/>
          <w:kern w:val="0"/>
          <w:sz w:val="28"/>
          <w:szCs w:val="28"/>
          <w:highlight w:val="none"/>
          <w:lang w:bidi="ar"/>
          <w14:textFill>
            <w14:solidFill>
              <w14:schemeClr w14:val="tx1"/>
            </w14:solidFill>
          </w14:textFill>
        </w:rPr>
        <w:t>1</w:t>
      </w:r>
      <w:r>
        <w:rPr>
          <w:rFonts w:hint="eastAsia" w:ascii="仿宋" w:hAnsi="仿宋" w:eastAsia="仿宋" w:cs="仿宋"/>
          <w:bCs/>
          <w:color w:val="000000" w:themeColor="text1"/>
          <w:kern w:val="0"/>
          <w:sz w:val="28"/>
          <w:szCs w:val="28"/>
          <w:highlight w:val="none"/>
          <w:lang w:bidi="ar"/>
          <w14:textFill>
            <w14:solidFill>
              <w14:schemeClr w14:val="tx1"/>
            </w14:solidFill>
          </w14:textFill>
        </w:rPr>
        <w:t>办公室）</w:t>
      </w:r>
    </w:p>
    <w:p>
      <w:pPr>
        <w:widowControl/>
        <w:wordWrap w:val="0"/>
        <w:spacing w:line="360" w:lineRule="auto"/>
        <w:ind w:firstLine="560" w:firstLineChars="200"/>
        <w:jc w:val="left"/>
        <w:rPr>
          <w:rFonts w:ascii="仿宋" w:hAnsi="仿宋" w:eastAsia="仿宋" w:cs="仿宋"/>
          <w:bCs/>
          <w:color w:val="000000" w:themeColor="text1"/>
          <w:kern w:val="0"/>
          <w:sz w:val="28"/>
          <w:szCs w:val="28"/>
          <w:highlight w:val="none"/>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联 系 人：谭老师</w:t>
      </w:r>
    </w:p>
    <w:p>
      <w:pPr>
        <w:widowControl/>
        <w:wordWrap w:val="0"/>
        <w:spacing w:line="360" w:lineRule="auto"/>
        <w:ind w:firstLine="560" w:firstLineChars="200"/>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联系电话：(028)84077181</w:t>
      </w:r>
    </w:p>
    <w:p>
      <w:pPr>
        <w:widowControl/>
        <w:wordWrap w:val="0"/>
        <w:spacing w:line="360" w:lineRule="auto"/>
        <w:ind w:firstLine="560" w:firstLineChars="200"/>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特此通知 </w:t>
      </w:r>
    </w:p>
    <w:p>
      <w:pPr>
        <w:widowControl/>
        <w:wordWrap w:val="0"/>
        <w:spacing w:line="360" w:lineRule="auto"/>
        <w:jc w:val="left"/>
        <w:rPr>
          <w:rFonts w:ascii="仿宋" w:hAnsi="仿宋" w:eastAsia="仿宋" w:cs="仿宋"/>
          <w:bCs/>
          <w:color w:val="000000" w:themeColor="text1"/>
          <w:kern w:val="0"/>
          <w:sz w:val="28"/>
          <w:szCs w:val="28"/>
          <w:highlight w:val="none"/>
          <w:lang w:bidi="ar"/>
          <w14:textFill>
            <w14:solidFill>
              <w14:schemeClr w14:val="tx1"/>
            </w14:solidFill>
          </w14:textFill>
        </w:rPr>
      </w:pPr>
    </w:p>
    <w:p>
      <w:pPr>
        <w:widowControl/>
        <w:wordWrap w:val="0"/>
        <w:spacing w:line="360" w:lineRule="auto"/>
        <w:jc w:val="left"/>
        <w:rPr>
          <w:rFonts w:ascii="仿宋" w:hAnsi="仿宋" w:eastAsia="仿宋" w:cs="仿宋"/>
          <w:bCs/>
          <w:color w:val="000000" w:themeColor="text1"/>
          <w:kern w:val="0"/>
          <w:sz w:val="28"/>
          <w:szCs w:val="28"/>
          <w:highlight w:val="none"/>
          <w:lang w:bidi="ar"/>
          <w14:textFill>
            <w14:solidFill>
              <w14:schemeClr w14:val="tx1"/>
            </w14:solidFill>
          </w14:textFill>
        </w:rPr>
      </w:pPr>
    </w:p>
    <w:p>
      <w:pPr>
        <w:widowControl/>
        <w:wordWrap w:val="0"/>
        <w:spacing w:line="360" w:lineRule="auto"/>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                              成都理工大学继续教育学院</w:t>
      </w:r>
    </w:p>
    <w:p>
      <w:pPr>
        <w:widowControl/>
        <w:wordWrap w:val="0"/>
        <w:spacing w:line="360" w:lineRule="auto"/>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 xml:space="preserve">                                    2020年10月12日</w:t>
      </w:r>
    </w:p>
    <w:p>
      <w:pPr>
        <w:widowControl/>
        <w:wordWrap w:val="0"/>
        <w:spacing w:line="360" w:lineRule="auto"/>
        <w:jc w:val="left"/>
        <w:rPr>
          <w:rFonts w:ascii="仿宋" w:hAnsi="仿宋" w:eastAsia="仿宋" w:cs="仿宋"/>
          <w:bCs/>
          <w:color w:val="000000" w:themeColor="text1"/>
          <w:kern w:val="0"/>
          <w:sz w:val="28"/>
          <w:szCs w:val="28"/>
          <w:highlight w:val="none"/>
          <w:lang w:bidi="ar"/>
          <w14:textFill>
            <w14:solidFill>
              <w14:schemeClr w14:val="tx1"/>
            </w14:solidFill>
          </w14:textFill>
        </w:rPr>
      </w:pPr>
    </w:p>
    <w:p>
      <w:pPr>
        <w:widowControl/>
        <w:wordWrap w:val="0"/>
        <w:spacing w:line="360" w:lineRule="auto"/>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附件1：成都理工大学高等学历继续教育本科毕业生学士学位申请表</w:t>
      </w:r>
    </w:p>
    <w:p>
      <w:pPr>
        <w:widowControl/>
        <w:wordWrap w:val="0"/>
        <w:spacing w:line="360" w:lineRule="auto"/>
        <w:jc w:val="left"/>
        <w:rPr>
          <w:rFonts w:ascii="仿宋" w:hAnsi="仿宋" w:eastAsia="仿宋" w:cs="仿宋"/>
          <w:bCs/>
          <w:color w:val="000000" w:themeColor="text1"/>
          <w:kern w:val="0"/>
          <w:sz w:val="28"/>
          <w:szCs w:val="28"/>
          <w:highlight w:val="none"/>
          <w:lang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附件2：学士学位申请表填写模板</w:t>
      </w:r>
    </w:p>
    <w:p>
      <w:pPr>
        <w:widowControl/>
        <w:wordWrap w:val="0"/>
        <w:spacing w:line="360" w:lineRule="auto"/>
        <w:jc w:val="left"/>
        <w:rPr>
          <w:rFonts w:hint="eastAsia" w:ascii="仿宋" w:hAnsi="仿宋" w:eastAsia="仿宋" w:cs="仿宋"/>
          <w:bCs/>
          <w:color w:val="000000" w:themeColor="text1"/>
          <w:kern w:val="0"/>
          <w:sz w:val="28"/>
          <w:szCs w:val="28"/>
          <w:highlight w:val="none"/>
          <w:lang w:val="en-US" w:eastAsia="zh-CN" w:bidi="ar"/>
          <w14:textFill>
            <w14:solidFill>
              <w14:schemeClr w14:val="tx1"/>
            </w14:solidFill>
          </w14:textFill>
        </w:rPr>
      </w:pPr>
      <w:r>
        <w:rPr>
          <w:rFonts w:hint="eastAsia" w:ascii="仿宋" w:hAnsi="仿宋" w:eastAsia="仿宋" w:cs="仿宋"/>
          <w:bCs/>
          <w:color w:val="000000" w:themeColor="text1"/>
          <w:kern w:val="0"/>
          <w:sz w:val="28"/>
          <w:szCs w:val="28"/>
          <w:highlight w:val="none"/>
          <w:lang w:bidi="ar"/>
          <w14:textFill>
            <w14:solidFill>
              <w14:schemeClr w14:val="tx1"/>
            </w14:solidFill>
          </w14:textFill>
        </w:rPr>
        <w:t>附件3：</w:t>
      </w:r>
      <w:r>
        <w:rPr>
          <w:rFonts w:hint="eastAsia" w:ascii="仿宋" w:hAnsi="仿宋" w:eastAsia="仿宋" w:cs="仿宋"/>
          <w:bCs/>
          <w:color w:val="000000" w:themeColor="text1"/>
          <w:kern w:val="0"/>
          <w:sz w:val="28"/>
          <w:szCs w:val="28"/>
          <w:highlight w:val="none"/>
          <w:lang w:eastAsia="zh-CN" w:bidi="ar"/>
          <w14:textFill>
            <w14:solidFill>
              <w14:schemeClr w14:val="tx1"/>
            </w14:solidFill>
          </w14:textFill>
        </w:rPr>
        <w:t>成教本科及自考独立本科专业代码表</w:t>
      </w:r>
      <w:bookmarkStart w:id="0" w:name="_GoBack"/>
      <w:bookmarkEnd w:id="0"/>
    </w:p>
    <w:p>
      <w:pPr>
        <w:widowControl/>
        <w:wordWrap w:val="0"/>
        <w:spacing w:line="360" w:lineRule="auto"/>
        <w:jc w:val="left"/>
        <w:rPr>
          <w:rFonts w:ascii="宋体" w:hAnsi="宋体" w:eastAsia="宋体" w:cs="宋体"/>
          <w:b/>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成教本科专业代码表</w:t>
      </w:r>
    </w:p>
    <w:tbl>
      <w:tblPr>
        <w:tblStyle w:val="3"/>
        <w:tblW w:w="8107" w:type="dxa"/>
        <w:tblInd w:w="0" w:type="dxa"/>
        <w:tblLayout w:type="fixed"/>
        <w:tblCellMar>
          <w:top w:w="0" w:type="dxa"/>
          <w:left w:w="0" w:type="dxa"/>
          <w:bottom w:w="0" w:type="dxa"/>
          <w:right w:w="0" w:type="dxa"/>
        </w:tblCellMar>
      </w:tblPr>
      <w:tblGrid>
        <w:gridCol w:w="2944"/>
        <w:gridCol w:w="1650"/>
        <w:gridCol w:w="1550"/>
        <w:gridCol w:w="1963"/>
      </w:tblGrid>
      <w:tr>
        <w:tblPrEx>
          <w:tblLayout w:type="fixed"/>
          <w:tblCellMar>
            <w:top w:w="0" w:type="dxa"/>
            <w:left w:w="0" w:type="dxa"/>
            <w:bottom w:w="0" w:type="dxa"/>
            <w:right w:w="0" w:type="dxa"/>
          </w:tblCellMar>
        </w:tblPrEx>
        <w:trPr>
          <w:trHeight w:val="493" w:hRule="atLeast"/>
        </w:trPr>
        <w:tc>
          <w:tcPr>
            <w:tcW w:w="2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专业名称</w:t>
            </w:r>
          </w:p>
        </w:tc>
        <w:tc>
          <w:tcPr>
            <w:tcW w:w="1650" w:type="dxa"/>
            <w:tcBorders>
              <w:top w:val="single" w:color="auto" w:sz="4" w:space="0"/>
              <w:left w:val="nil"/>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学科门类</w:t>
            </w:r>
          </w:p>
        </w:tc>
        <w:tc>
          <w:tcPr>
            <w:tcW w:w="1550" w:type="dxa"/>
            <w:tcBorders>
              <w:top w:val="single" w:color="auto" w:sz="4" w:space="0"/>
              <w:left w:val="nil"/>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专业代码</w:t>
            </w:r>
          </w:p>
        </w:tc>
        <w:tc>
          <w:tcPr>
            <w:tcW w:w="1963" w:type="dxa"/>
            <w:tcBorders>
              <w:top w:val="single" w:color="auto" w:sz="4" w:space="0"/>
              <w:left w:val="nil"/>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b/>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类别</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法学</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法学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030101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英语</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文学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050201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机械工程</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080201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电气工程及其自动化</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080601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计算机科学与技术</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080901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土木工程</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081001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勘查技术与工程</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081402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资源勘查工程</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081403</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工程管理</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120103</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工商管理</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120201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市场营销</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120202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会计学</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120203</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旅游管理</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120901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广播电视编导</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艺术学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130305</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bottom"/>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播音与主持艺术</w:t>
            </w:r>
          </w:p>
        </w:tc>
        <w:tc>
          <w:tcPr>
            <w:tcW w:w="16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艺术学</w:t>
            </w:r>
          </w:p>
        </w:tc>
        <w:tc>
          <w:tcPr>
            <w:tcW w:w="1550" w:type="dxa"/>
            <w:tcBorders>
              <w:top w:val="nil"/>
              <w:left w:val="nil"/>
              <w:bottom w:val="single" w:color="auto" w:sz="4" w:space="0"/>
              <w:right w:val="single" w:color="auto" w:sz="4" w:space="0"/>
            </w:tcBorders>
            <w:shd w:val="clear" w:color="auto" w:fill="auto"/>
            <w:vAlign w:val="bottom"/>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ascii="Arial" w:hAnsi="Arial" w:eastAsia="宋体" w:cs="Arial"/>
                <w:color w:val="000000" w:themeColor="text1"/>
                <w:kern w:val="0"/>
                <w:sz w:val="20"/>
                <w:szCs w:val="20"/>
                <w:highlight w:val="none"/>
                <w14:textFill>
                  <w14:solidFill>
                    <w14:schemeClr w14:val="tx1"/>
                  </w14:solidFill>
                </w14:textFill>
              </w:rPr>
              <w:t>130309</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成教本科</w:t>
            </w:r>
          </w:p>
        </w:tc>
      </w:tr>
      <w:tr>
        <w:tblPrEx>
          <w:tblLayout w:type="fixed"/>
          <w:tblCellMar>
            <w:top w:w="0" w:type="dxa"/>
            <w:left w:w="0" w:type="dxa"/>
            <w:bottom w:w="0" w:type="dxa"/>
            <w:right w:w="0" w:type="dxa"/>
          </w:tblCellMar>
        </w:tblPrEx>
        <w:trPr>
          <w:trHeight w:val="493" w:hRule="atLeast"/>
        </w:trPr>
        <w:tc>
          <w:tcPr>
            <w:tcW w:w="8107" w:type="dxa"/>
            <w:gridSpan w:val="4"/>
            <w:tcBorders>
              <w:top w:val="nil"/>
              <w:bottom w:val="single" w:color="auto" w:sz="4" w:space="0"/>
            </w:tcBorders>
            <w:shd w:val="clear" w:color="auto" w:fill="auto"/>
            <w:vAlign w:val="bottom"/>
          </w:tcPr>
          <w:p>
            <w:pPr>
              <w:widowControl/>
              <w:wordWrap w:val="0"/>
              <w:spacing w:line="360" w:lineRule="auto"/>
              <w:jc w:val="left"/>
              <w:rPr>
                <w:rFonts w:ascii="宋体" w:hAnsi="宋体" w:eastAsia="宋体" w:cs="宋体"/>
                <w:b/>
                <w:color w:val="000000" w:themeColor="text1"/>
                <w:kern w:val="0"/>
                <w:sz w:val="24"/>
                <w:highlight w:val="none"/>
                <w14:textFill>
                  <w14:solidFill>
                    <w14:schemeClr w14:val="tx1"/>
                  </w14:solidFill>
                </w14:textFill>
              </w:rPr>
            </w:pPr>
          </w:p>
          <w:p>
            <w:pPr>
              <w:widowControl/>
              <w:wordWrap w:val="0"/>
              <w:spacing w:line="360" w:lineRule="auto"/>
              <w:jc w:val="left"/>
              <w:rPr>
                <w:rFonts w:ascii="宋体" w:hAnsi="宋体" w:eastAsia="宋体" w:cs="宋体"/>
                <w:b/>
                <w:color w:val="000000" w:themeColor="text1"/>
                <w:kern w:val="0"/>
                <w:sz w:val="24"/>
                <w:highlight w:val="none"/>
                <w14:textFill>
                  <w14:solidFill>
                    <w14:schemeClr w14:val="tx1"/>
                  </w14:solidFill>
                </w14:textFill>
              </w:rPr>
            </w:pPr>
          </w:p>
          <w:p>
            <w:pPr>
              <w:widowControl/>
              <w:wordWrap w:val="0"/>
              <w:spacing w:line="360" w:lineRule="auto"/>
              <w:jc w:val="left"/>
              <w:rPr>
                <w:rFonts w:ascii="宋体" w:hAnsi="宋体" w:eastAsia="宋体" w:cs="宋体"/>
                <w:b/>
                <w:color w:val="000000" w:themeColor="text1"/>
                <w:kern w:val="0"/>
                <w:sz w:val="24"/>
                <w:highlight w:val="none"/>
                <w14:textFill>
                  <w14:solidFill>
                    <w14:schemeClr w14:val="tx1"/>
                  </w14:solidFill>
                </w14:textFill>
              </w:rPr>
            </w:pPr>
          </w:p>
          <w:p>
            <w:pPr>
              <w:widowControl/>
              <w:wordWrap w:val="0"/>
              <w:spacing w:line="360" w:lineRule="auto"/>
              <w:jc w:val="left"/>
              <w:rPr>
                <w:rFonts w:ascii="宋体" w:hAnsi="宋体" w:eastAsia="宋体" w:cs="宋体"/>
                <w:b/>
                <w:color w:val="000000" w:themeColor="text1"/>
                <w:kern w:val="0"/>
                <w:sz w:val="24"/>
                <w:highlight w:val="none"/>
                <w14:textFill>
                  <w14:solidFill>
                    <w14:schemeClr w14:val="tx1"/>
                  </w14:solidFill>
                </w14:textFill>
              </w:rPr>
            </w:pPr>
          </w:p>
          <w:p>
            <w:pPr>
              <w:widowControl/>
              <w:wordWrap w:val="0"/>
              <w:spacing w:line="360" w:lineRule="auto"/>
              <w:jc w:val="left"/>
              <w:rPr>
                <w:rFonts w:ascii="宋体" w:hAnsi="宋体" w:eastAsia="宋体" w:cs="宋体"/>
                <w:b/>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自考独立本科专业代码表</w:t>
            </w:r>
          </w:p>
        </w:tc>
      </w:tr>
      <w:tr>
        <w:tblPrEx>
          <w:tblLayout w:type="fixed"/>
          <w:tblCellMar>
            <w:top w:w="0" w:type="dxa"/>
            <w:left w:w="0" w:type="dxa"/>
            <w:bottom w:w="0" w:type="dxa"/>
            <w:right w:w="0" w:type="dxa"/>
          </w:tblCellMar>
        </w:tblPrEx>
        <w:trPr>
          <w:trHeight w:val="494"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专业名称</w:t>
            </w:r>
          </w:p>
        </w:tc>
        <w:tc>
          <w:tcPr>
            <w:tcW w:w="1650" w:type="dxa"/>
            <w:tcBorders>
              <w:top w:val="nil"/>
              <w:left w:val="nil"/>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学科门类</w:t>
            </w:r>
          </w:p>
        </w:tc>
        <w:tc>
          <w:tcPr>
            <w:tcW w:w="1550" w:type="dxa"/>
            <w:tcBorders>
              <w:top w:val="nil"/>
              <w:left w:val="nil"/>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专业代码</w:t>
            </w:r>
          </w:p>
        </w:tc>
        <w:tc>
          <w:tcPr>
            <w:tcW w:w="1963" w:type="dxa"/>
            <w:tcBorders>
              <w:top w:val="nil"/>
              <w:left w:val="nil"/>
              <w:bottom w:val="single" w:color="auto" w:sz="4" w:space="0"/>
              <w:right w:val="single" w:color="auto" w:sz="4" w:space="0"/>
            </w:tcBorders>
            <w:shd w:val="clear" w:color="auto" w:fill="auto"/>
            <w:vAlign w:val="center"/>
          </w:tcPr>
          <w:p>
            <w:pPr>
              <w:widowControl/>
              <w:spacing w:line="138" w:lineRule="atLeast"/>
              <w:jc w:val="center"/>
              <w:rPr>
                <w:rFonts w:ascii="宋体" w:hAnsi="宋体" w:eastAsia="宋体" w:cs="宋体"/>
                <w:b/>
                <w:color w:val="000000" w:themeColor="text1"/>
                <w:kern w:val="0"/>
                <w:sz w:val="24"/>
                <w:highlight w:val="none"/>
                <w14:textFill>
                  <w14:solidFill>
                    <w14:schemeClr w14:val="tx1"/>
                  </w14:solidFill>
                </w14:textFill>
              </w:rPr>
            </w:pPr>
            <w:r>
              <w:rPr>
                <w:rFonts w:hint="eastAsia" w:ascii="宋体" w:hAnsi="宋体" w:eastAsia="宋体" w:cs="宋体"/>
                <w:b/>
                <w:color w:val="000000" w:themeColor="text1"/>
                <w:kern w:val="0"/>
                <w:sz w:val="24"/>
                <w:highlight w:val="none"/>
                <w14:textFill>
                  <w14:solidFill>
                    <w14:schemeClr w14:val="tx1"/>
                  </w14:solidFill>
                </w14:textFill>
              </w:rPr>
              <w:t>类别</w:t>
            </w:r>
          </w:p>
        </w:tc>
      </w:tr>
      <w:tr>
        <w:tblPrEx>
          <w:tblLayout w:type="fixed"/>
          <w:tblCellMar>
            <w:top w:w="0" w:type="dxa"/>
            <w:left w:w="0" w:type="dxa"/>
            <w:bottom w:w="0" w:type="dxa"/>
            <w:right w:w="0" w:type="dxa"/>
          </w:tblCellMar>
        </w:tblPrEx>
        <w:trPr>
          <w:trHeight w:val="558" w:hRule="atLeast"/>
        </w:trPr>
        <w:tc>
          <w:tcPr>
            <w:tcW w:w="2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国际贸易</w:t>
            </w:r>
          </w:p>
        </w:tc>
        <w:tc>
          <w:tcPr>
            <w:tcW w:w="16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Y020110</w:t>
            </w:r>
          </w:p>
        </w:tc>
        <w:tc>
          <w:tcPr>
            <w:tcW w:w="1963"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工商企业管理</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工商管理</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W120201K</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会计</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Y020204</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会计学</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W120203K</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vMerge w:val="restart"/>
            <w:tcBorders>
              <w:top w:val="nil"/>
              <w:left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市场营销</w:t>
            </w:r>
          </w:p>
        </w:tc>
        <w:tc>
          <w:tcPr>
            <w:tcW w:w="1650" w:type="dxa"/>
            <w:vMerge w:val="restart"/>
            <w:tcBorders>
              <w:top w:val="nil"/>
              <w:left w:val="nil"/>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Y020208</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vMerge w:val="continue"/>
            <w:tcBorders>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650" w:type="dxa"/>
            <w:vMerge w:val="continue"/>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W120202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vMerge w:val="restart"/>
            <w:tcBorders>
              <w:top w:val="nil"/>
              <w:left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旅游管理</w:t>
            </w:r>
          </w:p>
        </w:tc>
        <w:tc>
          <w:tcPr>
            <w:tcW w:w="1650" w:type="dxa"/>
            <w:vMerge w:val="restart"/>
            <w:tcBorders>
              <w:top w:val="nil"/>
              <w:left w:val="nil"/>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Y020210</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vMerge w:val="continue"/>
            <w:tcBorders>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650" w:type="dxa"/>
            <w:vMerge w:val="continue"/>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W120901K</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vMerge w:val="restart"/>
            <w:tcBorders>
              <w:top w:val="nil"/>
              <w:left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电子商务</w:t>
            </w:r>
          </w:p>
        </w:tc>
        <w:tc>
          <w:tcPr>
            <w:tcW w:w="1650" w:type="dxa"/>
            <w:vMerge w:val="restart"/>
            <w:tcBorders>
              <w:top w:val="nil"/>
              <w:left w:val="nil"/>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Y020216</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vMerge w:val="continue"/>
            <w:tcBorders>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650" w:type="dxa"/>
            <w:vMerge w:val="continue"/>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W120801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人力资源管理</w:t>
            </w:r>
          </w:p>
        </w:tc>
        <w:tc>
          <w:tcPr>
            <w:tcW w:w="1650" w:type="dxa"/>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W120206</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建筑经济管理</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Y020221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物流管理</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Y020229</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vMerge w:val="restart"/>
            <w:tcBorders>
              <w:top w:val="nil"/>
              <w:left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公共事业管理</w:t>
            </w:r>
          </w:p>
        </w:tc>
        <w:tc>
          <w:tcPr>
            <w:tcW w:w="1650" w:type="dxa"/>
            <w:vMerge w:val="restart"/>
            <w:tcBorders>
              <w:top w:val="nil"/>
              <w:left w:val="nil"/>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Y020230</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vMerge w:val="continue"/>
            <w:tcBorders>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650" w:type="dxa"/>
            <w:vMerge w:val="continue"/>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W120401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财务管理</w:t>
            </w:r>
          </w:p>
        </w:tc>
        <w:tc>
          <w:tcPr>
            <w:tcW w:w="1650" w:type="dxa"/>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W120204</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工程造价管理</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Y082231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工程造价</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W120105</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现代企业管理</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Y020309</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center"/>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信息管理与服务</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Y071602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center"/>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信息管理与信息系统</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管理学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W120102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hint="eastAsia"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法律</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法学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Y030106</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机械制造及自动化</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Y080302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机械制造及其自动化</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W080202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计算机及应用</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Y080702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计算机科学与技术</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W080901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电子工程</w:t>
            </w:r>
          </w:p>
        </w:tc>
        <w:tc>
          <w:tcPr>
            <w:tcW w:w="16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Y080705</w:t>
            </w:r>
          </w:p>
        </w:tc>
        <w:tc>
          <w:tcPr>
            <w:tcW w:w="1963"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电子科学与技术</w:t>
            </w:r>
          </w:p>
        </w:tc>
        <w:tc>
          <w:tcPr>
            <w:tcW w:w="16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W080702</w:t>
            </w:r>
          </w:p>
        </w:tc>
        <w:tc>
          <w:tcPr>
            <w:tcW w:w="1963"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计算机通信工程</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Y080708</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建筑工程</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工学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Y080806</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vMerge w:val="restart"/>
            <w:tcBorders>
              <w:top w:val="nil"/>
              <w:left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英语</w:t>
            </w:r>
          </w:p>
        </w:tc>
        <w:tc>
          <w:tcPr>
            <w:tcW w:w="1650" w:type="dxa"/>
            <w:vMerge w:val="restart"/>
            <w:tcBorders>
              <w:top w:val="nil"/>
              <w:left w:val="nil"/>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文学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Y050201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vMerge w:val="continue"/>
            <w:tcBorders>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650" w:type="dxa"/>
            <w:vMerge w:val="continue"/>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W050201</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新闻学</w:t>
            </w:r>
          </w:p>
        </w:tc>
        <w:tc>
          <w:tcPr>
            <w:tcW w:w="16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文学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Y050305</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环境艺术设计</w:t>
            </w:r>
          </w:p>
        </w:tc>
        <w:tc>
          <w:tcPr>
            <w:tcW w:w="1650" w:type="dxa"/>
            <w:vMerge w:val="restart"/>
            <w:tcBorders>
              <w:top w:val="nil"/>
              <w:left w:val="nil"/>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文学</w:t>
            </w: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Y050412</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自考独立本科2018</w:t>
            </w:r>
          </w:p>
        </w:tc>
      </w:tr>
      <w:tr>
        <w:tblPrEx>
          <w:tblLayout w:type="fixed"/>
          <w:tblCellMar>
            <w:top w:w="0" w:type="dxa"/>
            <w:left w:w="0" w:type="dxa"/>
            <w:bottom w:w="0" w:type="dxa"/>
            <w:right w:w="0" w:type="dxa"/>
          </w:tblCellMar>
        </w:tblPrEx>
        <w:trPr>
          <w:trHeight w:val="493" w:hRule="atLeast"/>
        </w:trPr>
        <w:tc>
          <w:tcPr>
            <w:tcW w:w="2944" w:type="dxa"/>
            <w:tcBorders>
              <w:top w:val="nil"/>
              <w:left w:val="single" w:color="auto" w:sz="4" w:space="0"/>
              <w:bottom w:val="single" w:color="auto" w:sz="4" w:space="0"/>
              <w:right w:val="single" w:color="auto" w:sz="4" w:space="0"/>
            </w:tcBorders>
            <w:shd w:val="clear" w:color="auto" w:fill="auto"/>
            <w:vAlign w:val="center"/>
          </w:tcPr>
          <w:p>
            <w:pPr>
              <w:widowControl/>
              <w:jc w:val="left"/>
              <w:textAlignment w:val="center"/>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环境设计</w:t>
            </w:r>
          </w:p>
        </w:tc>
        <w:tc>
          <w:tcPr>
            <w:tcW w:w="1650" w:type="dxa"/>
            <w:vMerge w:val="continue"/>
            <w:tcBorders>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p>
        </w:tc>
        <w:tc>
          <w:tcPr>
            <w:tcW w:w="1550"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W130503</w:t>
            </w:r>
          </w:p>
        </w:tc>
        <w:tc>
          <w:tcPr>
            <w:tcW w:w="1963" w:type="dxa"/>
            <w:tcBorders>
              <w:top w:val="nil"/>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自考独立本科2019</w:t>
            </w:r>
          </w:p>
        </w:tc>
      </w:tr>
      <w:tr>
        <w:tblPrEx>
          <w:tblLayout w:type="fixed"/>
          <w:tblCellMar>
            <w:top w:w="0" w:type="dxa"/>
            <w:left w:w="0" w:type="dxa"/>
            <w:bottom w:w="0" w:type="dxa"/>
            <w:right w:w="0" w:type="dxa"/>
          </w:tblCellMar>
        </w:tblPrEx>
        <w:trPr>
          <w:trHeight w:val="493" w:hRule="atLeast"/>
        </w:trPr>
        <w:tc>
          <w:tcPr>
            <w:tcW w:w="294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ind w:firstLine="200" w:firstLineChars="100"/>
              <w:jc w:val="left"/>
              <w:textAlignment w:val="center"/>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艺术设计</w:t>
            </w:r>
            <w:r>
              <w:rPr>
                <w:rFonts w:hint="eastAsia" w:ascii="Arial" w:hAnsi="Arial" w:eastAsia="宋体" w:cs="Arial"/>
                <w:color w:val="000000" w:themeColor="text1"/>
                <w:kern w:val="0"/>
                <w:sz w:val="20"/>
                <w:szCs w:val="20"/>
                <w:highlight w:val="none"/>
                <w14:textFill>
                  <w14:solidFill>
                    <w14:schemeClr w14:val="tx1"/>
                  </w14:solidFill>
                </w14:textFill>
              </w:rPr>
              <w:t xml:space="preserve">  </w:t>
            </w:r>
          </w:p>
        </w:tc>
        <w:tc>
          <w:tcPr>
            <w:tcW w:w="16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文学</w:t>
            </w:r>
          </w:p>
        </w:tc>
        <w:tc>
          <w:tcPr>
            <w:tcW w:w="1550"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Y050437</w:t>
            </w:r>
          </w:p>
        </w:tc>
        <w:tc>
          <w:tcPr>
            <w:tcW w:w="1963" w:type="dxa"/>
            <w:tcBorders>
              <w:top w:val="single" w:color="auto" w:sz="4" w:space="0"/>
              <w:left w:val="nil"/>
              <w:bottom w:val="single" w:color="auto" w:sz="4" w:space="0"/>
              <w:right w:val="single" w:color="auto" w:sz="4" w:space="0"/>
            </w:tcBorders>
            <w:shd w:val="clear" w:color="auto" w:fill="auto"/>
            <w:vAlign w:val="center"/>
          </w:tcPr>
          <w:p>
            <w:pPr>
              <w:widowControl/>
              <w:jc w:val="center"/>
              <w:textAlignment w:val="bottom"/>
              <w:rPr>
                <w:rFonts w:ascii="Arial" w:hAnsi="Arial" w:eastAsia="宋体" w:cs="Arial"/>
                <w:color w:val="000000" w:themeColor="text1"/>
                <w:kern w:val="0"/>
                <w:sz w:val="20"/>
                <w:szCs w:val="20"/>
                <w:highlight w:val="none"/>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自考独立本科</w:t>
            </w:r>
          </w:p>
        </w:tc>
      </w:tr>
    </w:tbl>
    <w:p>
      <w:pPr>
        <w:widowControl/>
        <w:jc w:val="left"/>
        <w:textAlignment w:val="bottom"/>
        <w:rPr>
          <w:rFonts w:ascii="宋体" w:hAnsi="宋体" w:eastAsia="宋体" w:cs="宋体"/>
          <w:b/>
          <w:color w:val="000000" w:themeColor="text1"/>
          <w:kern w:val="0"/>
          <w:sz w:val="24"/>
          <w:highlight w:val="none"/>
          <w:lang w:bidi="ar"/>
          <w14:textFill>
            <w14:solidFill>
              <w14:schemeClr w14:val="tx1"/>
            </w14:solidFill>
          </w14:textFill>
        </w:rPr>
      </w:pPr>
      <w:r>
        <w:rPr>
          <w:rFonts w:hint="eastAsia" w:ascii="Arial" w:hAnsi="Arial" w:eastAsia="宋体" w:cs="Arial"/>
          <w:color w:val="000000" w:themeColor="text1"/>
          <w:kern w:val="0"/>
          <w:sz w:val="20"/>
          <w:szCs w:val="20"/>
          <w:highlight w:val="none"/>
          <w14:textFill>
            <w14:solidFill>
              <w14:schemeClr w14:val="tx1"/>
            </w14:solidFill>
          </w14:textFill>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021FFA"/>
    <w:rsid w:val="000D24A0"/>
    <w:rsid w:val="001F14AC"/>
    <w:rsid w:val="002C5B6C"/>
    <w:rsid w:val="0031780B"/>
    <w:rsid w:val="003A19B6"/>
    <w:rsid w:val="00461A02"/>
    <w:rsid w:val="004A3913"/>
    <w:rsid w:val="00535C95"/>
    <w:rsid w:val="00714778"/>
    <w:rsid w:val="00A06BE1"/>
    <w:rsid w:val="00A15FE1"/>
    <w:rsid w:val="00C13827"/>
    <w:rsid w:val="00C42392"/>
    <w:rsid w:val="00FF6569"/>
    <w:rsid w:val="04D043C8"/>
    <w:rsid w:val="05485824"/>
    <w:rsid w:val="055B3871"/>
    <w:rsid w:val="094A5C21"/>
    <w:rsid w:val="0B4D4ADB"/>
    <w:rsid w:val="0B857832"/>
    <w:rsid w:val="0C812ABC"/>
    <w:rsid w:val="0DA57203"/>
    <w:rsid w:val="0EAB5684"/>
    <w:rsid w:val="14FD43F7"/>
    <w:rsid w:val="17AE23A6"/>
    <w:rsid w:val="185B0DD5"/>
    <w:rsid w:val="1A021FFA"/>
    <w:rsid w:val="1CA620EC"/>
    <w:rsid w:val="1EB96ECD"/>
    <w:rsid w:val="2028331E"/>
    <w:rsid w:val="203A2BDE"/>
    <w:rsid w:val="20805F88"/>
    <w:rsid w:val="229024D0"/>
    <w:rsid w:val="22D13162"/>
    <w:rsid w:val="24B44928"/>
    <w:rsid w:val="263A1286"/>
    <w:rsid w:val="26DF40EC"/>
    <w:rsid w:val="293E2BB2"/>
    <w:rsid w:val="298B24F6"/>
    <w:rsid w:val="2AD90B11"/>
    <w:rsid w:val="2F6E1C90"/>
    <w:rsid w:val="322E45DE"/>
    <w:rsid w:val="3366002D"/>
    <w:rsid w:val="36A502AB"/>
    <w:rsid w:val="372D07FD"/>
    <w:rsid w:val="39304DF7"/>
    <w:rsid w:val="3A922481"/>
    <w:rsid w:val="3BE32EF6"/>
    <w:rsid w:val="42C813C3"/>
    <w:rsid w:val="449F3964"/>
    <w:rsid w:val="54476505"/>
    <w:rsid w:val="5D307BE8"/>
    <w:rsid w:val="5DE570FC"/>
    <w:rsid w:val="5DFF18D8"/>
    <w:rsid w:val="5E040190"/>
    <w:rsid w:val="5F4A7E12"/>
    <w:rsid w:val="605F4315"/>
    <w:rsid w:val="611B6B7E"/>
    <w:rsid w:val="61C70FB9"/>
    <w:rsid w:val="658B2FB2"/>
    <w:rsid w:val="69B569A0"/>
    <w:rsid w:val="6A1B477A"/>
    <w:rsid w:val="74BA79B6"/>
    <w:rsid w:val="77AE4D28"/>
    <w:rsid w:val="7B1144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440</Words>
  <Characters>2514</Characters>
  <Lines>20</Lines>
  <Paragraphs>5</Paragraphs>
  <TotalTime>4</TotalTime>
  <ScaleCrop>false</ScaleCrop>
  <LinksUpToDate>false</LinksUpToDate>
  <CharactersWithSpaces>2949</CharactersWithSpaces>
  <Application>WPS Office_11.3.0.8742_F1E327BC-269C-435d-A152-05C5408002CA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2018-10-22T02:13:00Z</dcterms:created>
  <dc:creator>Administrator</dc:creator>
  <cp:lastModifiedBy>吉祥止止</cp:lastModifiedBy>
  <cp:lastPrinted>2018-10-22T03:34:00Z</cp:lastPrinted>
  <dcterms:modified xsi:type="dcterms:W3CDTF">2020-10-10T02:51:53Z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2052-11.3.0.8742</vt:lpwstr>
  </property>
</Properties>
</file>